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3A0" w14:textId="61AD5B7F" w:rsidR="00855964" w:rsidRDefault="00D8782C" w:rsidP="00387FB0">
      <w:pPr>
        <w:pStyle w:val="berschrift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berschrift2"/>
        <w:jc w:val="both"/>
      </w:pPr>
    </w:p>
    <w:p w14:paraId="7E87AEB4" w14:textId="0117C73C" w:rsidR="00CD0AD6" w:rsidRDefault="00CD0AD6" w:rsidP="00CD0AD6">
      <w:pPr>
        <w:pStyle w:val="berschrift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berschrift2"/>
        <w:jc w:val="both"/>
      </w:pPr>
    </w:p>
    <w:p w14:paraId="632DC932" w14:textId="7F329668" w:rsidR="00496714" w:rsidRPr="00496714" w:rsidRDefault="00496714" w:rsidP="00387FB0">
      <w:pPr>
        <w:pStyle w:val="berschrift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71515872" w:rsidR="007D4C47" w:rsidRDefault="00200976" w:rsidP="00C87C81">
      <w:pPr>
        <w:spacing w:after="0" w:line="240" w:lineRule="auto"/>
        <w:ind w:firstLine="720"/>
        <w:jc w:val="both"/>
      </w:pPr>
      <w:r>
        <w:sym w:font="Symbol" w:char="F07F"/>
      </w:r>
      <w:r>
        <w:tab/>
        <w:t>Human spaceflight</w:t>
      </w:r>
    </w:p>
    <w:p w14:paraId="58BAF08B" w14:textId="4F1E3CFF" w:rsidR="005D7057" w:rsidRDefault="005D7057" w:rsidP="00C87C81">
      <w:pPr>
        <w:spacing w:after="0" w:line="240" w:lineRule="auto"/>
        <w:ind w:firstLine="720"/>
        <w:jc w:val="both"/>
      </w:pPr>
      <w:r>
        <w:sym w:font="Symbol" w:char="F07F"/>
      </w:r>
      <w:r>
        <w:tab/>
        <w:t>Other</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berschrift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Listenabsatz"/>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Listenabsatz"/>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Listenabsatz"/>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Listenabsatz"/>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berschrift2"/>
        <w:jc w:val="both"/>
      </w:pPr>
    </w:p>
    <w:p w14:paraId="135F9851" w14:textId="1958BE11" w:rsidR="00C87C81" w:rsidRPr="00C87C81" w:rsidRDefault="0016786C" w:rsidP="00CD0AD6">
      <w:pPr>
        <w:pStyle w:val="berschrift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Listenabsatz"/>
        <w:numPr>
          <w:ilvl w:val="0"/>
          <w:numId w:val="4"/>
        </w:numPr>
        <w:jc w:val="both"/>
      </w:pPr>
      <w:r>
        <w:t>Space provides a feasible solution to solve the problem, and</w:t>
      </w:r>
    </w:p>
    <w:p w14:paraId="3610C93A" w14:textId="3CA14C5A" w:rsidR="00B5287E" w:rsidRDefault="00BB5EBF" w:rsidP="00B5287E">
      <w:pPr>
        <w:pStyle w:val="Listenabsatz"/>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some innovative step is 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lastRenderedPageBreak/>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Listenabsatz"/>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Listenabsatz"/>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Listenabsatz"/>
        <w:numPr>
          <w:ilvl w:val="0"/>
          <w:numId w:val="4"/>
        </w:numPr>
        <w:jc w:val="both"/>
      </w:pPr>
      <w:r>
        <w:t>Likewise, if the proposed technology transfer from space has already taken place in the non-space domain that is targeted, additional arguments would be needed.</w:t>
      </w:r>
    </w:p>
    <w:p w14:paraId="159D362C" w14:textId="5ADDE6A5" w:rsidR="00AA745E" w:rsidRDefault="008C2A1D" w:rsidP="00387FB0">
      <w:pPr>
        <w:pStyle w:val="Listenabsatz"/>
        <w:numPr>
          <w:ilvl w:val="0"/>
          <w:numId w:val="4"/>
        </w:numPr>
        <w:jc w:val="both"/>
      </w:pPr>
      <w:r>
        <w:t xml:space="preserve">We will normally not support the development of </w:t>
      </w:r>
      <w:r w:rsidR="00D35488">
        <w:t>“</w:t>
      </w:r>
      <w:r>
        <w:t>yet another</w:t>
      </w:r>
      <w:r w:rsidR="00D35488">
        <w:t>”</w:t>
      </w:r>
      <w:r>
        <w:t xml:space="preserve"> Location Based Service for mobile phones.</w:t>
      </w:r>
      <w:r w:rsidR="00AA745E">
        <w:t xml:space="preserve"> </w:t>
      </w:r>
    </w:p>
    <w:p w14:paraId="16962D03" w14:textId="59709D1E" w:rsidR="00AA745E" w:rsidRDefault="005D2F7D" w:rsidP="00387FB0">
      <w:pPr>
        <w:pStyle w:val="Listenabsatz"/>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GOEvZJPAgAAqQQAAA4AAAAAAAAAAAAAAAAALgIAAGRycy9lMm9Eb2MueG1sUEsBAi0AFAAG&#10;AAgAAAAhALOoIxvgAAAADgEAAA8AAAAAAAAAAAAAAAAAqQQAAGRycy9kb3ducmV2LnhtbFBLBQYA&#10;AAAABAAEAPMAAAC2BQ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Hyperlink"/>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w:t>
      </w:r>
      <w:r w:rsidR="006A7471">
        <w:rPr>
          <w:lang w:val="en-US"/>
        </w:rPr>
        <w:lastRenderedPageBreak/>
        <w:t>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MnNHIlPAgAAqQQAAA4AAAAAAAAAAAAAAAAALgIAAGRycy9lMm9Eb2MueG1sUEsBAi0AFAAG&#10;AAgAAAAhALOoIxvgAAAADgEAAA8AAAAAAAAAAAAAAAAAqQQAAGRycy9kb3ducmV2LnhtbFBLBQYA&#10;AAAABAAEAPMAAAC2BQ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berschrift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Listenabsatz"/>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Listenabsatz"/>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Listenabsatz"/>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Listenabsatz"/>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Listenabsatz"/>
        <w:numPr>
          <w:ilvl w:val="0"/>
          <w:numId w:val="4"/>
        </w:numPr>
      </w:pPr>
      <w:r>
        <w:t xml:space="preserve">Preferably contain a statement of becoming a customer if the development of the idea is successful. </w:t>
      </w:r>
    </w:p>
    <w:p w14:paraId="07AE512B" w14:textId="7774465A" w:rsidR="00F42A3D" w:rsidRDefault="00E611D7" w:rsidP="00F42A3D">
      <w:r>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0DE6296D" w:rsidR="00F42A3D" w:rsidRDefault="00436091" w:rsidP="00C87C81">
      <w:r>
        <w:t>In case you have been in contact with experts at ESA to discuss your idea, please provide references (name, e-mail, and telephone number)</w:t>
      </w:r>
      <w:r w:rsidR="00C160CF">
        <w:t xml:space="preserve"> in your proposal</w:t>
      </w:r>
      <w:r>
        <w:t>.</w:t>
      </w:r>
    </w:p>
    <w:p w14:paraId="4FE306F5" w14:textId="77777777" w:rsidR="00C160CF" w:rsidRDefault="00C160CF" w:rsidP="00C87C81"/>
    <w:p w14:paraId="3BB12803" w14:textId="5AA1E6B6" w:rsidR="00127AE2" w:rsidRPr="005A7203" w:rsidRDefault="005A7203" w:rsidP="00606603">
      <w:pPr>
        <w:pStyle w:val="berschrift2"/>
        <w:spacing w:after="240"/>
        <w:rPr>
          <w:highlight w:val="yellow"/>
        </w:rPr>
      </w:pPr>
      <w:r w:rsidRPr="005A7203">
        <w:lastRenderedPageBreak/>
        <w:t xml:space="preserve">Contact details ESA BIC </w:t>
      </w:r>
      <w:r w:rsidR="00606603" w:rsidRPr="00606603">
        <w:t>Hessen</w:t>
      </w:r>
    </w:p>
    <w:p w14:paraId="275BCC10" w14:textId="46F33DED" w:rsidR="005A7203" w:rsidRDefault="00606603" w:rsidP="00C87C81">
      <w:pPr>
        <w:rPr>
          <w:lang w:val="de-DE"/>
        </w:rPr>
      </w:pPr>
      <w:r w:rsidRPr="00606603">
        <w:rPr>
          <w:lang w:val="de-DE"/>
        </w:rPr>
        <w:t>Bianca Nöthling und Dr. Udo</w:t>
      </w:r>
      <w:r>
        <w:rPr>
          <w:lang w:val="de-DE"/>
        </w:rPr>
        <w:t xml:space="preserve"> Hermenau</w:t>
      </w:r>
    </w:p>
    <w:p w14:paraId="7C9B952B" w14:textId="32444347" w:rsidR="00606603" w:rsidRDefault="00606603" w:rsidP="00C87C81">
      <w:pPr>
        <w:rPr>
          <w:lang w:val="de-DE"/>
        </w:rPr>
      </w:pPr>
      <w:r>
        <w:rPr>
          <w:lang w:val="de-DE"/>
        </w:rPr>
        <w:t xml:space="preserve">ESA BIC Manager </w:t>
      </w:r>
    </w:p>
    <w:p w14:paraId="7FD5B815" w14:textId="09B32E0E" w:rsidR="00606603" w:rsidRPr="00606603" w:rsidRDefault="00606603" w:rsidP="00C87C81">
      <w:pPr>
        <w:rPr>
          <w:lang w:val="en-US"/>
        </w:rPr>
      </w:pPr>
      <w:r w:rsidRPr="00606603">
        <w:rPr>
          <w:lang w:val="en-US"/>
        </w:rPr>
        <w:t xml:space="preserve">Mail to: </w:t>
      </w:r>
      <w:hyperlink r:id="rId8" w:history="1">
        <w:r w:rsidRPr="00606603">
          <w:rPr>
            <w:rStyle w:val="Hyperlink"/>
            <w:lang w:val="en-US"/>
          </w:rPr>
          <w:t>incubation@cesah.com</w:t>
        </w:r>
      </w:hyperlink>
      <w:r w:rsidRPr="00606603">
        <w:rPr>
          <w:lang w:val="en-US"/>
        </w:rPr>
        <w:t xml:space="preserve"> </w:t>
      </w:r>
    </w:p>
    <w:p w14:paraId="72E0BE2A" w14:textId="2F6E1499" w:rsidR="00D026AC" w:rsidRPr="00606603" w:rsidRDefault="00D026AC" w:rsidP="00C87C81">
      <w:pPr>
        <w:rPr>
          <w:lang w:val="en-US"/>
        </w:rPr>
      </w:pPr>
    </w:p>
    <w:p w14:paraId="2D18F565" w14:textId="77777777" w:rsidR="00D026AC" w:rsidRPr="00606603" w:rsidRDefault="00D026AC" w:rsidP="00C87C81">
      <w:pPr>
        <w:rPr>
          <w:lang w:val="en-US"/>
        </w:rPr>
      </w:pPr>
    </w:p>
    <w:p w14:paraId="5D9EB42D" w14:textId="11F998F8" w:rsidR="00D026AC" w:rsidRDefault="00D026AC" w:rsidP="00C87C81">
      <w:r>
        <w:t>----------------------------------</w:t>
      </w:r>
    </w:p>
    <w:p w14:paraId="2FC164D2" w14:textId="21638289" w:rsidR="00D026AC" w:rsidRDefault="00D026AC" w:rsidP="00C87C81">
      <w:r>
        <w:t>Document change record</w:t>
      </w:r>
    </w:p>
    <w:p w14:paraId="0193898E" w14:textId="6D13DC67" w:rsidR="00D026AC" w:rsidRDefault="00D026AC" w:rsidP="00C87C81">
      <w:r>
        <w:t>V1.0</w:t>
      </w:r>
      <w:r>
        <w:tab/>
        <w:t>23/06/2020</w:t>
      </w:r>
      <w:r>
        <w:tab/>
        <w:t>First version for release</w:t>
      </w:r>
    </w:p>
    <w:p w14:paraId="2DFB3FC0" w14:textId="4786CED7" w:rsidR="00F150C8" w:rsidRDefault="00F150C8" w:rsidP="00C87C81">
      <w:r>
        <w:t>V1.1</w:t>
      </w:r>
      <w:r>
        <w:tab/>
      </w:r>
      <w:r w:rsidR="00F04FE8">
        <w:t>30/09/2022</w:t>
      </w:r>
      <w:r w:rsidR="00F04FE8">
        <w:tab/>
        <w:t>Added request to inform ESA when previous contact has been made</w:t>
      </w:r>
    </w:p>
    <w:p w14:paraId="58521B82" w14:textId="77777777" w:rsidR="00D026AC" w:rsidRPr="00F42A3D" w:rsidRDefault="00D026AC" w:rsidP="00C87C81"/>
    <w:sectPr w:rsidR="00D026AC" w:rsidRPr="00F42A3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2F91" w14:textId="77777777" w:rsidR="00DD78B1" w:rsidRDefault="00DD78B1" w:rsidP="00A918BB">
      <w:pPr>
        <w:spacing w:after="0" w:line="240" w:lineRule="auto"/>
      </w:pPr>
      <w:r>
        <w:separator/>
      </w:r>
    </w:p>
  </w:endnote>
  <w:endnote w:type="continuationSeparator" w:id="0">
    <w:p w14:paraId="1B9E937C" w14:textId="77777777" w:rsidR="00DD78B1" w:rsidRDefault="00DD78B1"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505"/>
      <w:docPartObj>
        <w:docPartGallery w:val="Page Numbers (Bottom of Page)"/>
        <w:docPartUnique/>
      </w:docPartObj>
    </w:sdtPr>
    <w:sdtEndPr>
      <w:rPr>
        <w:noProof/>
      </w:rPr>
    </w:sdtEndPr>
    <w:sdtContent>
      <w:p w14:paraId="1D205BB3" w14:textId="30AD1709" w:rsidR="0016786C" w:rsidRDefault="0016786C">
        <w:pPr>
          <w:pStyle w:val="Fuzeile"/>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7196" w14:textId="77777777" w:rsidR="00DD78B1" w:rsidRDefault="00DD78B1" w:rsidP="00A918BB">
      <w:pPr>
        <w:spacing w:after="0" w:line="240" w:lineRule="auto"/>
      </w:pPr>
      <w:r>
        <w:separator/>
      </w:r>
    </w:p>
  </w:footnote>
  <w:footnote w:type="continuationSeparator" w:id="0">
    <w:p w14:paraId="0B5BB3C2" w14:textId="77777777" w:rsidR="00DD78B1" w:rsidRDefault="00DD78B1"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2E8" w14:textId="2B979C30" w:rsidR="005A7203" w:rsidRDefault="00AD524A" w:rsidP="009B0E9D">
    <w:pPr>
      <w:pStyle w:val="Kopfzeile"/>
      <w:jc w:val="both"/>
      <w:rPr>
        <w:lang w:val="en-US"/>
      </w:rPr>
    </w:pPr>
    <w:r>
      <w:rPr>
        <w:lang w:val="en-US"/>
      </w:rPr>
      <w:t xml:space="preserve">ESA BIC - </w:t>
    </w:r>
    <w:r w:rsidR="005A7203">
      <w:rPr>
        <w:lang w:val="en-US"/>
      </w:rPr>
      <w:t xml:space="preserve">Space Connection Assessment, Version </w:t>
    </w:r>
    <w:r w:rsidR="00D026AC">
      <w:rPr>
        <w:lang w:val="en-US"/>
      </w:rPr>
      <w:t>1.</w:t>
    </w:r>
    <w:r w:rsidR="00F04FE8">
      <w:rPr>
        <w:lang w:val="en-US"/>
      </w:rPr>
      <w:t>1</w:t>
    </w:r>
    <w:r w:rsidR="005A7203">
      <w:rPr>
        <w:lang w:val="en-US"/>
      </w:rPr>
      <w:t xml:space="preserve">, </w:t>
    </w:r>
    <w:r w:rsidR="00F04FE8">
      <w:rPr>
        <w:lang w:val="en-US"/>
      </w:rPr>
      <w:t>30</w:t>
    </w:r>
    <w:r w:rsidR="005A7203">
      <w:rPr>
        <w:lang w:val="en-US"/>
      </w:rPr>
      <w:t>/0</w:t>
    </w:r>
    <w:r w:rsidR="00F04FE8">
      <w:rPr>
        <w:lang w:val="en-US"/>
      </w:rPr>
      <w:t>9</w:t>
    </w:r>
    <w:r w:rsidR="005A7203">
      <w:rPr>
        <w:lang w:val="en-US"/>
      </w:rPr>
      <w:t>/202</w:t>
    </w:r>
    <w:r>
      <w:rPr>
        <w:lang w:val="en-US"/>
      </w:rPr>
      <w:t>2</w:t>
    </w:r>
  </w:p>
  <w:p w14:paraId="1045BD5D" w14:textId="77777777" w:rsidR="009B0E9D" w:rsidRPr="005A7203" w:rsidRDefault="009B0E9D" w:rsidP="009B0E9D">
    <w:pPr>
      <w:pStyle w:val="Kopfzeile"/>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90158">
    <w:abstractNumId w:val="3"/>
  </w:num>
  <w:num w:numId="2" w16cid:durableId="1809779815">
    <w:abstractNumId w:val="5"/>
  </w:num>
  <w:num w:numId="3" w16cid:durableId="1696730586">
    <w:abstractNumId w:val="1"/>
  </w:num>
  <w:num w:numId="4" w16cid:durableId="248273775">
    <w:abstractNumId w:val="4"/>
  </w:num>
  <w:num w:numId="5" w16cid:durableId="1400901869">
    <w:abstractNumId w:val="7"/>
  </w:num>
  <w:num w:numId="6" w16cid:durableId="1828281844">
    <w:abstractNumId w:val="6"/>
  </w:num>
  <w:num w:numId="7" w16cid:durableId="1394350765">
    <w:abstractNumId w:val="2"/>
  </w:num>
  <w:num w:numId="8" w16cid:durableId="109015048">
    <w:abstractNumId w:val="0"/>
  </w:num>
  <w:num w:numId="9" w16cid:durableId="1443913962">
    <w:abstractNumId w:val="8"/>
  </w:num>
  <w:num w:numId="10" w16cid:durableId="182203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10059"/>
    <w:rsid w:val="00321032"/>
    <w:rsid w:val="00330E51"/>
    <w:rsid w:val="0033538D"/>
    <w:rsid w:val="00343794"/>
    <w:rsid w:val="003505A3"/>
    <w:rsid w:val="00387FB0"/>
    <w:rsid w:val="003A7869"/>
    <w:rsid w:val="003D0C8E"/>
    <w:rsid w:val="003D4E1C"/>
    <w:rsid w:val="00425459"/>
    <w:rsid w:val="004342F8"/>
    <w:rsid w:val="00436091"/>
    <w:rsid w:val="0044135C"/>
    <w:rsid w:val="0046072C"/>
    <w:rsid w:val="00496714"/>
    <w:rsid w:val="004972BC"/>
    <w:rsid w:val="004C70CE"/>
    <w:rsid w:val="004D1183"/>
    <w:rsid w:val="004D144D"/>
    <w:rsid w:val="004D46D7"/>
    <w:rsid w:val="00520CAE"/>
    <w:rsid w:val="005651F9"/>
    <w:rsid w:val="005810D3"/>
    <w:rsid w:val="005A2459"/>
    <w:rsid w:val="005A5CC1"/>
    <w:rsid w:val="005A7203"/>
    <w:rsid w:val="005D2F7D"/>
    <w:rsid w:val="005D7057"/>
    <w:rsid w:val="005F3306"/>
    <w:rsid w:val="005F6B86"/>
    <w:rsid w:val="00604D7B"/>
    <w:rsid w:val="00606603"/>
    <w:rsid w:val="00613CE5"/>
    <w:rsid w:val="00661FA6"/>
    <w:rsid w:val="00690E5B"/>
    <w:rsid w:val="006A597A"/>
    <w:rsid w:val="006A7471"/>
    <w:rsid w:val="006E418F"/>
    <w:rsid w:val="00700A13"/>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76429"/>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D524A"/>
    <w:rsid w:val="00AE1157"/>
    <w:rsid w:val="00AE3033"/>
    <w:rsid w:val="00B024C6"/>
    <w:rsid w:val="00B30330"/>
    <w:rsid w:val="00B34CDE"/>
    <w:rsid w:val="00B354D2"/>
    <w:rsid w:val="00B36772"/>
    <w:rsid w:val="00B37F0D"/>
    <w:rsid w:val="00B45C1E"/>
    <w:rsid w:val="00B5287E"/>
    <w:rsid w:val="00B61D38"/>
    <w:rsid w:val="00B758C1"/>
    <w:rsid w:val="00BB5EBF"/>
    <w:rsid w:val="00BD24B8"/>
    <w:rsid w:val="00BE296E"/>
    <w:rsid w:val="00C160CF"/>
    <w:rsid w:val="00C52949"/>
    <w:rsid w:val="00C87C81"/>
    <w:rsid w:val="00CA417A"/>
    <w:rsid w:val="00CA7450"/>
    <w:rsid w:val="00CB226F"/>
    <w:rsid w:val="00CD0AD6"/>
    <w:rsid w:val="00D026AC"/>
    <w:rsid w:val="00D2232E"/>
    <w:rsid w:val="00D35488"/>
    <w:rsid w:val="00D36F90"/>
    <w:rsid w:val="00D8782C"/>
    <w:rsid w:val="00DA042C"/>
    <w:rsid w:val="00DD78B1"/>
    <w:rsid w:val="00DF1CA5"/>
    <w:rsid w:val="00E03056"/>
    <w:rsid w:val="00E611D7"/>
    <w:rsid w:val="00E61B2A"/>
    <w:rsid w:val="00E65425"/>
    <w:rsid w:val="00E80BB2"/>
    <w:rsid w:val="00E87B8E"/>
    <w:rsid w:val="00EC5B4B"/>
    <w:rsid w:val="00ED34A0"/>
    <w:rsid w:val="00F04FE8"/>
    <w:rsid w:val="00F150C8"/>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82C"/>
    <w:pPr>
      <w:ind w:left="720"/>
      <w:contextualSpacing/>
    </w:pPr>
  </w:style>
  <w:style w:type="character" w:customStyle="1" w:styleId="berschrift1Zchn">
    <w:name w:val="Überschrift 1 Zchn"/>
    <w:basedOn w:val="Absatz-Standardschriftart"/>
    <w:link w:val="berschrift1"/>
    <w:uiPriority w:val="9"/>
    <w:rsid w:val="00955E0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55E08"/>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A918B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918BB"/>
  </w:style>
  <w:style w:type="paragraph" w:styleId="Fuzeile">
    <w:name w:val="footer"/>
    <w:basedOn w:val="Standard"/>
    <w:link w:val="FuzeileZchn"/>
    <w:uiPriority w:val="99"/>
    <w:unhideWhenUsed/>
    <w:rsid w:val="00A918B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918BB"/>
  </w:style>
  <w:style w:type="character" w:styleId="Kommentarzeichen">
    <w:name w:val="annotation reference"/>
    <w:basedOn w:val="Absatz-Standardschriftart"/>
    <w:uiPriority w:val="99"/>
    <w:semiHidden/>
    <w:unhideWhenUsed/>
    <w:rsid w:val="003505A3"/>
    <w:rPr>
      <w:sz w:val="16"/>
      <w:szCs w:val="16"/>
    </w:rPr>
  </w:style>
  <w:style w:type="paragraph" w:styleId="Kommentartext">
    <w:name w:val="annotation text"/>
    <w:basedOn w:val="Standard"/>
    <w:link w:val="KommentartextZchn"/>
    <w:uiPriority w:val="99"/>
    <w:semiHidden/>
    <w:unhideWhenUsed/>
    <w:rsid w:val="003505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05A3"/>
    <w:rPr>
      <w:sz w:val="20"/>
      <w:szCs w:val="20"/>
    </w:rPr>
  </w:style>
  <w:style w:type="paragraph" w:styleId="Kommentarthema">
    <w:name w:val="annotation subject"/>
    <w:basedOn w:val="Kommentartext"/>
    <w:next w:val="Kommentartext"/>
    <w:link w:val="KommentarthemaZchn"/>
    <w:uiPriority w:val="99"/>
    <w:semiHidden/>
    <w:unhideWhenUsed/>
    <w:rsid w:val="003505A3"/>
    <w:rPr>
      <w:b/>
      <w:bCs/>
    </w:rPr>
  </w:style>
  <w:style w:type="character" w:customStyle="1" w:styleId="KommentarthemaZchn">
    <w:name w:val="Kommentarthema Zchn"/>
    <w:basedOn w:val="KommentartextZchn"/>
    <w:link w:val="Kommentarthema"/>
    <w:uiPriority w:val="99"/>
    <w:semiHidden/>
    <w:rsid w:val="003505A3"/>
    <w:rPr>
      <w:b/>
      <w:bCs/>
      <w:sz w:val="20"/>
      <w:szCs w:val="20"/>
    </w:rPr>
  </w:style>
  <w:style w:type="paragraph" w:styleId="Sprechblasentext">
    <w:name w:val="Balloon Text"/>
    <w:basedOn w:val="Standard"/>
    <w:link w:val="SprechblasentextZchn"/>
    <w:uiPriority w:val="99"/>
    <w:semiHidden/>
    <w:unhideWhenUsed/>
    <w:rsid w:val="003505A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505A3"/>
    <w:rPr>
      <w:rFonts w:ascii="Times New Roman" w:hAnsi="Times New Roman" w:cs="Times New Roman"/>
      <w:sz w:val="18"/>
      <w:szCs w:val="18"/>
    </w:rPr>
  </w:style>
  <w:style w:type="paragraph" w:styleId="Funotentext">
    <w:name w:val="footnote text"/>
    <w:basedOn w:val="Standard"/>
    <w:link w:val="FunotentextZchn"/>
    <w:uiPriority w:val="99"/>
    <w:semiHidden/>
    <w:unhideWhenUsed/>
    <w:rsid w:val="005A5C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5CC1"/>
    <w:rPr>
      <w:sz w:val="20"/>
      <w:szCs w:val="20"/>
    </w:rPr>
  </w:style>
  <w:style w:type="character" w:styleId="Funotenzeichen">
    <w:name w:val="footnote reference"/>
    <w:basedOn w:val="Absatz-Standardschriftart"/>
    <w:uiPriority w:val="99"/>
    <w:semiHidden/>
    <w:unhideWhenUsed/>
    <w:rsid w:val="005A5CC1"/>
    <w:rPr>
      <w:vertAlign w:val="superscript"/>
    </w:rPr>
  </w:style>
  <w:style w:type="character" w:styleId="Hyperlink">
    <w:name w:val="Hyperlink"/>
    <w:basedOn w:val="Absatz-Standardschriftart"/>
    <w:uiPriority w:val="99"/>
    <w:unhideWhenUsed/>
    <w:rsid w:val="00D2232E"/>
    <w:rPr>
      <w:color w:val="0563C1" w:themeColor="hyperlink"/>
      <w:u w:val="single"/>
    </w:rPr>
  </w:style>
  <w:style w:type="character" w:customStyle="1" w:styleId="UnresolvedMention1">
    <w:name w:val="Unresolved Mention1"/>
    <w:basedOn w:val="Absatz-Standardschriftart"/>
    <w:uiPriority w:val="99"/>
    <w:semiHidden/>
    <w:unhideWhenUsed/>
    <w:rsid w:val="00D2232E"/>
    <w:rPr>
      <w:color w:val="605E5C"/>
      <w:shd w:val="clear" w:color="auto" w:fill="E1DFDD"/>
    </w:rPr>
  </w:style>
  <w:style w:type="character" w:styleId="BesuchterLink">
    <w:name w:val="FollowedHyperlink"/>
    <w:basedOn w:val="Absatz-Standardschriftart"/>
    <w:uiPriority w:val="99"/>
    <w:semiHidden/>
    <w:unhideWhenUsed/>
    <w:rsid w:val="000C688D"/>
    <w:rPr>
      <w:color w:val="954F72" w:themeColor="followedHyperlink"/>
      <w:u w:val="single"/>
    </w:rPr>
  </w:style>
  <w:style w:type="paragraph" w:styleId="berarbeitung">
    <w:name w:val="Revision"/>
    <w:hidden/>
    <w:uiPriority w:val="99"/>
    <w:semiHidden/>
    <w:rsid w:val="00F150C8"/>
    <w:pPr>
      <w:spacing w:after="0" w:line="240" w:lineRule="auto"/>
    </w:pPr>
  </w:style>
  <w:style w:type="character" w:styleId="NichtaufgelsteErwhnung">
    <w:name w:val="Unresolved Mention"/>
    <w:basedOn w:val="Absatz-Standardschriftart"/>
    <w:uiPriority w:val="99"/>
    <w:semiHidden/>
    <w:unhideWhenUsed/>
    <w:rsid w:val="00606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ubation@cesah.com" TargetMode="External"/><Relationship Id="rId3" Type="http://schemas.openxmlformats.org/officeDocument/2006/relationships/settings" Target="settings.xml"/><Relationship Id="rId7" Type="http://schemas.openxmlformats.org/officeDocument/2006/relationships/hyperlink" Target="mailto:patent@es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9196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Bianca Nöthling</cp:lastModifiedBy>
  <cp:revision>2</cp:revision>
  <dcterms:created xsi:type="dcterms:W3CDTF">2022-12-09T13:16:00Z</dcterms:created>
  <dcterms:modified xsi:type="dcterms:W3CDTF">2022-12-09T13:16:00Z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2022-09-30T13:55:40Z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8beac9ce-47cf-4c83-843d-a3b8795225e8</vt:lpwstr>
  </property>
  <property fmtid="{D5CDD505-2E9C-101B-9397-08002B2CF9AE}" pid="8" name="MSIP_Label_3976fa30-1907-4356-8241-62ea5e1c0256_ContentBits">
    <vt:lpwstr>0</vt:lpwstr>
  </property>
</Properties>
</file>